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FD58" w14:textId="11F73FEA" w:rsidR="003C1EDA" w:rsidRPr="00FA4957" w:rsidRDefault="003C1EDA" w:rsidP="003C1EDA">
      <w:pPr>
        <w:jc w:val="right"/>
        <w:rPr>
          <w:rFonts w:ascii="Calibri" w:hAnsi="Calibri" w:cs="Calibri"/>
          <w:sz w:val="18"/>
          <w:szCs w:val="18"/>
        </w:rPr>
      </w:pPr>
      <w:r w:rsidRPr="21EAE752">
        <w:rPr>
          <w:rFonts w:ascii="Calibri" w:hAnsi="Calibri" w:cs="Calibri"/>
          <w:sz w:val="18"/>
          <w:szCs w:val="18"/>
        </w:rPr>
        <w:t xml:space="preserve">Warszawa, </w:t>
      </w:r>
      <w:r w:rsidR="00F260AB">
        <w:rPr>
          <w:rFonts w:ascii="Calibri" w:hAnsi="Calibri" w:cs="Calibri"/>
          <w:sz w:val="18"/>
          <w:szCs w:val="18"/>
        </w:rPr>
        <w:t>19</w:t>
      </w:r>
      <w:r w:rsidRPr="21EAE752">
        <w:rPr>
          <w:rFonts w:ascii="Calibri" w:hAnsi="Calibri" w:cs="Calibri"/>
          <w:sz w:val="18"/>
          <w:szCs w:val="18"/>
        </w:rPr>
        <w:t xml:space="preserve"> </w:t>
      </w:r>
      <w:r w:rsidR="005970F2">
        <w:rPr>
          <w:rFonts w:ascii="Calibri" w:hAnsi="Calibri" w:cs="Calibri"/>
          <w:sz w:val="18"/>
          <w:szCs w:val="18"/>
        </w:rPr>
        <w:t>września</w:t>
      </w:r>
      <w:r w:rsidRPr="21EAE752">
        <w:rPr>
          <w:rFonts w:ascii="Calibri" w:hAnsi="Calibri" w:cs="Calibri"/>
          <w:sz w:val="18"/>
          <w:szCs w:val="18"/>
        </w:rPr>
        <w:t xml:space="preserve"> 2024 r.</w:t>
      </w:r>
    </w:p>
    <w:p w14:paraId="6D230A00" w14:textId="77777777" w:rsidR="003C1EDA" w:rsidRDefault="003C1EDA" w:rsidP="003C1EDA">
      <w:pPr>
        <w:pStyle w:val="Akapitzlist"/>
        <w:jc w:val="right"/>
        <w:rPr>
          <w:b/>
          <w:bCs/>
          <w:sz w:val="28"/>
          <w:szCs w:val="28"/>
        </w:rPr>
      </w:pPr>
    </w:p>
    <w:p w14:paraId="07E68D83" w14:textId="5ACFB36C" w:rsidR="00E272A8" w:rsidRPr="00750F2D" w:rsidRDefault="00E272A8" w:rsidP="00E272A8">
      <w:pPr>
        <w:pStyle w:val="Akapitzlist"/>
        <w:jc w:val="center"/>
        <w:rPr>
          <w:b/>
          <w:bCs/>
          <w:sz w:val="28"/>
          <w:szCs w:val="28"/>
        </w:rPr>
      </w:pPr>
      <w:r w:rsidRPr="00750F2D">
        <w:rPr>
          <w:b/>
          <w:bCs/>
          <w:sz w:val="28"/>
          <w:szCs w:val="28"/>
        </w:rPr>
        <w:t xml:space="preserve">5 kluczowych trendów w e-commerce </w:t>
      </w:r>
    </w:p>
    <w:p w14:paraId="32CF811B" w14:textId="7C171D53" w:rsidR="00E272A8" w:rsidRDefault="00E272A8" w:rsidP="00E272A8">
      <w:pPr>
        <w:jc w:val="both"/>
        <w:rPr>
          <w:b/>
          <w:bCs/>
        </w:rPr>
      </w:pPr>
      <w:r w:rsidRPr="001242E1">
        <w:rPr>
          <w:b/>
          <w:bCs/>
        </w:rPr>
        <w:t xml:space="preserve">E-commerce, czyli handel elektroniczny, stał się </w:t>
      </w:r>
      <w:r w:rsidR="003A775C">
        <w:rPr>
          <w:b/>
          <w:bCs/>
        </w:rPr>
        <w:t>filarem</w:t>
      </w:r>
      <w:r w:rsidRPr="001242E1">
        <w:rPr>
          <w:b/>
          <w:bCs/>
        </w:rPr>
        <w:t xml:space="preserve"> nowoczesnej gospodarki. Od momentu swojego powstania zrewolucjonizował </w:t>
      </w:r>
      <w:r>
        <w:rPr>
          <w:b/>
          <w:bCs/>
        </w:rPr>
        <w:t xml:space="preserve">on </w:t>
      </w:r>
      <w:r w:rsidRPr="001242E1">
        <w:rPr>
          <w:b/>
          <w:bCs/>
        </w:rPr>
        <w:t>sposób, w jaki robimy zakupy i prowadzimy działalność biznesową. Dzięki</w:t>
      </w:r>
      <w:r>
        <w:rPr>
          <w:b/>
          <w:bCs/>
        </w:rPr>
        <w:t xml:space="preserve"> e-commerce</w:t>
      </w:r>
      <w:r w:rsidRPr="001242E1">
        <w:rPr>
          <w:b/>
          <w:bCs/>
        </w:rPr>
        <w:t xml:space="preserve"> możemy kupować i sprzedawać towary oraz usługi online, korzystając z komputerów lub urządzeń mobilnych. Obecnie jest to dynamiczna branża o wartości globalnej sprzedaży detalicznej, szacowanej na 5,8 </w:t>
      </w:r>
      <w:r w:rsidR="00910404" w:rsidRPr="00910404">
        <w:rPr>
          <w:b/>
          <w:bCs/>
        </w:rPr>
        <w:t>miliard</w:t>
      </w:r>
      <w:r w:rsidR="00910404">
        <w:rPr>
          <w:b/>
          <w:bCs/>
        </w:rPr>
        <w:t>a</w:t>
      </w:r>
      <w:r w:rsidRPr="001242E1">
        <w:rPr>
          <w:b/>
          <w:bCs/>
        </w:rPr>
        <w:t xml:space="preserve"> USD w 2023 roku, z prognozami wzrostu do ponad 8 </w:t>
      </w:r>
      <w:r w:rsidR="00910404" w:rsidRPr="00910404">
        <w:rPr>
          <w:b/>
          <w:bCs/>
        </w:rPr>
        <w:t>miliard</w:t>
      </w:r>
      <w:r w:rsidR="00910404">
        <w:rPr>
          <w:b/>
          <w:bCs/>
        </w:rPr>
        <w:t>ów</w:t>
      </w:r>
      <w:r w:rsidRPr="001242E1">
        <w:rPr>
          <w:b/>
          <w:bCs/>
        </w:rPr>
        <w:t xml:space="preserve"> USD do 2027 roku</w:t>
      </w:r>
      <w:r>
        <w:rPr>
          <w:b/>
          <w:bCs/>
        </w:rPr>
        <w:t>,</w:t>
      </w:r>
      <w:r w:rsidRPr="001242E1">
        <w:rPr>
          <w:b/>
          <w:bCs/>
        </w:rPr>
        <w:t xml:space="preserve"> według danych zebranych przez statista.com. Aby przedsiębiorcy mogli skutecznie konkurować na tym rynku, muszą być świadomi najnowszych trendów i umiejętnie je wykorzystywać. Oto pięć kluczowych trendów, które będą kształtować przyszłość e-commerce.</w:t>
      </w:r>
    </w:p>
    <w:p w14:paraId="5D98AA38" w14:textId="77777777" w:rsidR="00E272A8" w:rsidRPr="001D23B1" w:rsidRDefault="00E272A8" w:rsidP="00E272A8">
      <w:pPr>
        <w:jc w:val="both"/>
        <w:rPr>
          <w:b/>
          <w:bCs/>
        </w:rPr>
      </w:pPr>
      <w:r>
        <w:rPr>
          <w:b/>
          <w:bCs/>
        </w:rPr>
        <w:t>Trend 1</w:t>
      </w:r>
      <w:r>
        <w:rPr>
          <w:b/>
          <w:bCs/>
          <w:lang w:val="uk-UA"/>
        </w:rPr>
        <w:t xml:space="preserve">: </w:t>
      </w:r>
      <w:r w:rsidRPr="00B464AA">
        <w:rPr>
          <w:b/>
          <w:bCs/>
        </w:rPr>
        <w:t>a</w:t>
      </w:r>
      <w:r w:rsidRPr="009D4658">
        <w:rPr>
          <w:b/>
          <w:bCs/>
          <w:lang w:val="uk-UA"/>
        </w:rPr>
        <w:t xml:space="preserve">utomatyzacja i </w:t>
      </w:r>
      <w:r w:rsidRPr="009D4658">
        <w:rPr>
          <w:b/>
          <w:bCs/>
        </w:rPr>
        <w:t>p</w:t>
      </w:r>
      <w:r w:rsidRPr="009D4658">
        <w:rPr>
          <w:b/>
          <w:bCs/>
          <w:lang w:val="uk-UA"/>
        </w:rPr>
        <w:t>ersonalizacja z AI</w:t>
      </w:r>
      <w:r>
        <w:rPr>
          <w:b/>
          <w:bCs/>
          <w:lang w:val="uk-UA"/>
        </w:rPr>
        <w:t xml:space="preserve"> </w:t>
      </w:r>
    </w:p>
    <w:p w14:paraId="44C71623" w14:textId="59818115" w:rsidR="00E272A8" w:rsidRDefault="00E272A8" w:rsidP="00E272A8">
      <w:pPr>
        <w:jc w:val="both"/>
      </w:pPr>
      <w:r>
        <w:t xml:space="preserve">Sztuczna inteligencja (AI) i uczenie maszynowe są obecnie powszechnie znane. W ciągu ostatnich kilku lat sztuczna inteligencja zrewolucjonizowała branżę e-commerce, umożliwiając markom automatyzację każdego aspektu ich działalności. Od usprawnienia obsługi klienta za pomocą </w:t>
      </w:r>
      <w:proofErr w:type="spellStart"/>
      <w:r>
        <w:t>chatbotów</w:t>
      </w:r>
      <w:proofErr w:type="spellEnd"/>
      <w:r>
        <w:t xml:space="preserve"> po personalizację rekomendacji produktów i optymalizację łańcucha dostaw </w:t>
      </w:r>
      <w:r w:rsidR="00F32BC1">
        <w:t>–</w:t>
      </w:r>
      <w:r>
        <w:t xml:space="preserve"> </w:t>
      </w:r>
      <w:r w:rsidR="00F32BC1">
        <w:t xml:space="preserve">właściwie </w:t>
      </w:r>
      <w:r>
        <w:t xml:space="preserve">nie ma ograniczeń co do tego, jak sztuczna inteligencja może wpłynąć na biznes. Według raportu Grand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Inc. rynek </w:t>
      </w:r>
      <w:proofErr w:type="spellStart"/>
      <w:r>
        <w:t>chatbotów</w:t>
      </w:r>
      <w:proofErr w:type="spellEnd"/>
      <w:r>
        <w:t xml:space="preserve"> osiągnie wartość 3,99 miliarda USD do 2030 roku, co pokazuje, jak bardzo technologia ta jest istotna dla natychmiastowej i efektywnej obsługi klienta.</w:t>
      </w:r>
    </w:p>
    <w:p w14:paraId="24A916DB" w14:textId="77777777" w:rsidR="00E272A8" w:rsidRDefault="00E272A8" w:rsidP="00E272A8">
      <w:pPr>
        <w:jc w:val="both"/>
        <w:rPr>
          <w:b/>
          <w:bCs/>
        </w:rPr>
      </w:pPr>
      <w:r>
        <w:t>W najbliższym czasie można spodziewać się kilku głównych zmian. Sztuczna inteligencja poprawi indywidualne doświadczenia zakupowe, wykorzystując dane do zwiększenia personalizacji i poprawy obsługi klienta. Będzie świadczyć usługi podobne do tych, których oczekuje konsument podczas interakcji z prawdziwym sprzedawcą. Na przykład generatywna sztuczna inteligencja pomoże kupującym znaleźć produkty, odpowiedzieć na ich pytania, zrealizować zamówienia i przetworzyć zwroty.</w:t>
      </w:r>
      <w:r w:rsidRPr="00445FFF">
        <w:rPr>
          <w:b/>
          <w:bCs/>
        </w:rPr>
        <w:t xml:space="preserve"> </w:t>
      </w:r>
    </w:p>
    <w:p w14:paraId="05DE96BF" w14:textId="77777777" w:rsidR="00E272A8" w:rsidRPr="00445FFF" w:rsidRDefault="00E272A8" w:rsidP="00E272A8">
      <w:pPr>
        <w:jc w:val="both"/>
        <w:rPr>
          <w:b/>
          <w:bCs/>
        </w:rPr>
      </w:pPr>
      <w:r>
        <w:rPr>
          <w:b/>
          <w:bCs/>
        </w:rPr>
        <w:t>Trend 2</w:t>
      </w:r>
      <w:r>
        <w:rPr>
          <w:b/>
          <w:bCs/>
          <w:lang w:val="uk-UA"/>
        </w:rPr>
        <w:t xml:space="preserve">: </w:t>
      </w:r>
      <w:r>
        <w:rPr>
          <w:b/>
          <w:bCs/>
        </w:rPr>
        <w:t>e</w:t>
      </w:r>
      <w:r w:rsidRPr="00377AED">
        <w:rPr>
          <w:b/>
          <w:bCs/>
        </w:rPr>
        <w:t xml:space="preserve">lastyczne </w:t>
      </w:r>
      <w:r>
        <w:rPr>
          <w:b/>
          <w:bCs/>
        </w:rPr>
        <w:t>o</w:t>
      </w:r>
      <w:r w:rsidRPr="00377AED">
        <w:rPr>
          <w:b/>
          <w:bCs/>
        </w:rPr>
        <w:t xml:space="preserve">pcje </w:t>
      </w:r>
      <w:r>
        <w:rPr>
          <w:b/>
          <w:bCs/>
        </w:rPr>
        <w:t>p</w:t>
      </w:r>
      <w:r w:rsidRPr="00377AED">
        <w:rPr>
          <w:b/>
          <w:bCs/>
        </w:rPr>
        <w:t>łatności</w:t>
      </w:r>
    </w:p>
    <w:p w14:paraId="645BAC39" w14:textId="30CC755A" w:rsidR="0030249D" w:rsidRDefault="0030249D" w:rsidP="0030249D">
      <w:pPr>
        <w:jc w:val="both"/>
      </w:pPr>
      <w:r>
        <w:t xml:space="preserve">Finalizacja płatności to jeden z kluczowych momentów w podróży klienta. Nawet najmniejsza przeszkoda podczas tego procesu może zamienić sprzedaż w utratę klienta. Dla wielu </w:t>
      </w:r>
      <w:r w:rsidR="006B6E33">
        <w:t>z nich</w:t>
      </w:r>
      <w:r>
        <w:t xml:space="preserve"> kluczowe jest zapewnienie elastycznych opcji płatności – według danych Instytutu </w:t>
      </w:r>
      <w:proofErr w:type="spellStart"/>
      <w:r>
        <w:t>Baymarda</w:t>
      </w:r>
      <w:proofErr w:type="spellEnd"/>
      <w:r>
        <w:t xml:space="preserve"> 13 proc. </w:t>
      </w:r>
      <w:r w:rsidR="006B6E33">
        <w:t>klientów</w:t>
      </w:r>
      <w:r>
        <w:t xml:space="preserve"> porzuca koszyki zakupowe, jeśli nie znajdzie wystarczającej liczby metod płatności.</w:t>
      </w:r>
    </w:p>
    <w:p w14:paraId="6D70041F" w14:textId="3FB5C60B" w:rsidR="0030249D" w:rsidRDefault="00555221" w:rsidP="0030249D">
      <w:pPr>
        <w:jc w:val="both"/>
      </w:pPr>
      <w:r>
        <w:t xml:space="preserve">- </w:t>
      </w:r>
      <w:r w:rsidR="00E84606">
        <w:rPr>
          <w:i/>
          <w:iCs/>
        </w:rPr>
        <w:t>Obecnie</w:t>
      </w:r>
      <w:r w:rsidR="0030249D" w:rsidRPr="00FD18BD">
        <w:rPr>
          <w:i/>
          <w:iCs/>
        </w:rPr>
        <w:t xml:space="preserve"> niemal 81 proc. </w:t>
      </w:r>
      <w:r w:rsidR="00E84606">
        <w:rPr>
          <w:i/>
          <w:iCs/>
        </w:rPr>
        <w:t>MŚP</w:t>
      </w:r>
      <w:r w:rsidR="0030249D" w:rsidRPr="00FD18BD">
        <w:rPr>
          <w:i/>
          <w:iCs/>
        </w:rPr>
        <w:t xml:space="preserve"> z sektora</w:t>
      </w:r>
      <w:r w:rsidR="00E84606">
        <w:rPr>
          <w:i/>
          <w:iCs/>
        </w:rPr>
        <w:t xml:space="preserve"> handlowego i usługowego</w:t>
      </w:r>
      <w:r w:rsidR="0030249D" w:rsidRPr="00FD18BD">
        <w:rPr>
          <w:i/>
          <w:iCs/>
        </w:rPr>
        <w:t xml:space="preserve"> umożliwia swoim klientom płatności bezgotówkowe, co wskazuje na rosnącą świadomość przedsiębiorców w zakresie budowania konkurencyjności poprzez różnorodność metod zapłaty. Potwierdzają to wyniki </w:t>
      </w:r>
      <w:r w:rsidR="00FD18BD" w:rsidRPr="00FD18BD">
        <w:rPr>
          <w:i/>
          <w:iCs/>
        </w:rPr>
        <w:t xml:space="preserve">przeprowadzonego przez </w:t>
      </w:r>
      <w:r w:rsidR="003658CA" w:rsidRPr="00FD18BD">
        <w:rPr>
          <w:i/>
          <w:iCs/>
        </w:rPr>
        <w:t xml:space="preserve">nas </w:t>
      </w:r>
      <w:r w:rsidR="0030249D" w:rsidRPr="00FD18BD">
        <w:rPr>
          <w:i/>
          <w:iCs/>
        </w:rPr>
        <w:t>badania „Płatności bezgotówkowe w polskich MŚP”</w:t>
      </w:r>
      <w:r w:rsidR="0030249D">
        <w:t xml:space="preserve"> </w:t>
      </w:r>
      <w:r w:rsidR="006D4190">
        <w:t>–</w:t>
      </w:r>
      <w:r>
        <w:t xml:space="preserve"> </w:t>
      </w:r>
      <w:r w:rsidRPr="00555221">
        <w:t>mówi</w:t>
      </w:r>
      <w:r w:rsidR="003112E6">
        <w:t xml:space="preserve"> Krzysztof </w:t>
      </w:r>
      <w:proofErr w:type="spellStart"/>
      <w:r w:rsidR="003112E6">
        <w:t>Polończyk</w:t>
      </w:r>
      <w:proofErr w:type="spellEnd"/>
      <w:r w:rsidR="003112E6">
        <w:t>, prezes zarządu</w:t>
      </w:r>
      <w:r w:rsidRPr="006D4190">
        <w:t xml:space="preserve"> </w:t>
      </w:r>
      <w:proofErr w:type="spellStart"/>
      <w:r w:rsidRPr="006D4190">
        <w:t>Fiserv</w:t>
      </w:r>
      <w:proofErr w:type="spellEnd"/>
      <w:r w:rsidRPr="006D4190">
        <w:t xml:space="preserve"> Polska S.A.,</w:t>
      </w:r>
      <w:r w:rsidRPr="00555221">
        <w:t xml:space="preserve"> właściciela marki </w:t>
      </w:r>
      <w:proofErr w:type="spellStart"/>
      <w:r w:rsidRPr="00555221">
        <w:t>PolCard</w:t>
      </w:r>
      <w:proofErr w:type="spellEnd"/>
      <w:r w:rsidRPr="00555221">
        <w:t xml:space="preserve"> from </w:t>
      </w:r>
      <w:proofErr w:type="spellStart"/>
      <w:r w:rsidRPr="00555221">
        <w:t>Fiserv</w:t>
      </w:r>
      <w:proofErr w:type="spellEnd"/>
      <w:r w:rsidRPr="00555221">
        <w:t>.</w:t>
      </w:r>
    </w:p>
    <w:p w14:paraId="518C0B80" w14:textId="09BF0E08" w:rsidR="0030249D" w:rsidRDefault="003A030D" w:rsidP="0030249D">
      <w:pPr>
        <w:jc w:val="both"/>
      </w:pPr>
      <w:r>
        <w:t xml:space="preserve">Na przykład </w:t>
      </w:r>
      <w:proofErr w:type="spellStart"/>
      <w:r w:rsidR="0030249D">
        <w:t>PolCard</w:t>
      </w:r>
      <w:proofErr w:type="spellEnd"/>
      <w:r w:rsidR="0030249D">
        <w:t xml:space="preserve"> from </w:t>
      </w:r>
      <w:proofErr w:type="spellStart"/>
      <w:r w:rsidR="0030249D">
        <w:t>Fiserv</w:t>
      </w:r>
      <w:proofErr w:type="spellEnd"/>
      <w:r w:rsidR="0006470E">
        <w:t xml:space="preserve"> zapewnia</w:t>
      </w:r>
      <w:r w:rsidR="0030249D">
        <w:t xml:space="preserve"> narzędzia, które upraszczają procesy płatnicze i odpowiadają na potrzeby rynku, w tym bramkę płatniczą oraz Generator </w:t>
      </w:r>
      <w:r w:rsidR="00724E45">
        <w:t>L</w:t>
      </w:r>
      <w:r w:rsidR="0030249D">
        <w:t>inków do transakcji kartowych.</w:t>
      </w:r>
    </w:p>
    <w:p w14:paraId="19B6381B" w14:textId="77777777" w:rsidR="00E272A8" w:rsidRDefault="00E272A8" w:rsidP="00E272A8">
      <w:pPr>
        <w:jc w:val="both"/>
      </w:pPr>
      <w:r>
        <w:t xml:space="preserve">Bramka płatnicza umożliwia bezproblemową integrację płatności z witryną e-commerce, obsługując różne metody płatności, w tym karty kredytowe, debetowe, przelewy bankowe oraz portfele elektroniczne, takie jak Google </w:t>
      </w:r>
      <w:proofErr w:type="spellStart"/>
      <w:r>
        <w:t>Pay</w:t>
      </w:r>
      <w:proofErr w:type="spellEnd"/>
      <w:r>
        <w:t xml:space="preserve">, Apple </w:t>
      </w:r>
      <w:proofErr w:type="spellStart"/>
      <w:r>
        <w:t>Pay</w:t>
      </w:r>
      <w:proofErr w:type="spellEnd"/>
      <w:r>
        <w:t xml:space="preserve">, VISA Mobile i płatności mobilne BLIK. Dostosowuje się również do wyświetlacza, ułatwiając kupującym rozliczenia online, niezależnie od urządzenia. To </w:t>
      </w:r>
      <w:r>
        <w:lastRenderedPageBreak/>
        <w:t>rozwiązanie nie tylko zmniejsza liczbę porzuconych koszyków, ale także zapewnia lepsze doświadczenia zakupowe klientom.</w:t>
      </w:r>
    </w:p>
    <w:p w14:paraId="7E932A2A" w14:textId="281460C7" w:rsidR="00E272A8" w:rsidRDefault="00E272A8" w:rsidP="00E272A8">
      <w:pPr>
        <w:jc w:val="both"/>
      </w:pPr>
      <w:r>
        <w:t xml:space="preserve">Generator </w:t>
      </w:r>
      <w:r w:rsidR="00B71885">
        <w:t>L</w:t>
      </w:r>
      <w:r>
        <w:t xml:space="preserve">inków pozwala natomiast na szybkie i łatwe generowanie bezpiecznego linku lub kodu QR do płatności, który można wysłać klientowi. Po kliknięciu przekierowuje on klienta do bramki płatniczej, gdzie może zapłacić w preferowany sposób – kartą, BLIKIEM lub e-przelewem. Przedsiębiorca może dowolnie zdefiniować czas ważności takiego linku i określić termin płatności. Środki z transakcji </w:t>
      </w:r>
      <w:r w:rsidR="000800D4">
        <w:t xml:space="preserve">zwykle </w:t>
      </w:r>
      <w:r>
        <w:t xml:space="preserve">wpływają na konto </w:t>
      </w:r>
      <w:r w:rsidR="000800D4">
        <w:t>natychmiast po zaksięgowaniu</w:t>
      </w:r>
      <w:r w:rsidR="00F513EF">
        <w:t xml:space="preserve"> transakcji</w:t>
      </w:r>
      <w:r>
        <w:t>.</w:t>
      </w:r>
    </w:p>
    <w:p w14:paraId="6EC57C99" w14:textId="0189EF0D" w:rsidR="00E272A8" w:rsidRDefault="00E272A8" w:rsidP="00E272A8">
      <w:pPr>
        <w:jc w:val="both"/>
      </w:pPr>
      <w:r>
        <w:t xml:space="preserve">To narzędzie jest idealnym rozwiązaniem dla firm prowadzących sprzedaż poza tradycyjnymi platformami e-commerce lub oferujących usługi. </w:t>
      </w:r>
      <w:r w:rsidRPr="00A76C3C">
        <w:t xml:space="preserve">Na rynku jest także wiele usług dodatkowych </w:t>
      </w:r>
      <w:r>
        <w:t xml:space="preserve">dla e-commerce </w:t>
      </w:r>
      <w:r w:rsidRPr="005B3165">
        <w:t xml:space="preserve">(w </w:t>
      </w:r>
      <w:proofErr w:type="spellStart"/>
      <w:r w:rsidRPr="005B3165">
        <w:t>PolCard</w:t>
      </w:r>
      <w:proofErr w:type="spellEnd"/>
      <w:r w:rsidRPr="005B3165">
        <w:t xml:space="preserve"> from </w:t>
      </w:r>
      <w:proofErr w:type="spellStart"/>
      <w:r w:rsidRPr="005B3165">
        <w:t>Fiserv</w:t>
      </w:r>
      <w:proofErr w:type="spellEnd"/>
      <w:r w:rsidRPr="005B3165">
        <w:t xml:space="preserve"> jest ich ponad </w:t>
      </w:r>
      <w:r>
        <w:t>20</w:t>
      </w:r>
      <w:r w:rsidRPr="005B3165">
        <w:t>)</w:t>
      </w:r>
      <w:r>
        <w:t xml:space="preserve">, które zwiększą zyski, bezpieczeństwo i zadowolenie klienta. Na przykład </w:t>
      </w:r>
      <w:proofErr w:type="spellStart"/>
      <w:r>
        <w:t>eDCC</w:t>
      </w:r>
      <w:proofErr w:type="spellEnd"/>
      <w:r>
        <w:t xml:space="preserve"> - obsługa płatności kartą w 27 najpopularniejszych walutach. Udostępnia</w:t>
      </w:r>
      <w:r w:rsidR="001A0731">
        <w:t>ją</w:t>
      </w:r>
      <w:r>
        <w:t xml:space="preserve"> kupującym m.in. obsługę portfeli cyfrowych, płatności cyklicznych, </w:t>
      </w:r>
      <w:proofErr w:type="spellStart"/>
      <w:r>
        <w:t>OneClick</w:t>
      </w:r>
      <w:proofErr w:type="spellEnd"/>
      <w:r>
        <w:t xml:space="preserve"> oraz szybkich e-przelewów.</w:t>
      </w:r>
    </w:p>
    <w:p w14:paraId="2949F6CA" w14:textId="1F7D7238" w:rsidR="00E272A8" w:rsidRPr="003E24F5" w:rsidRDefault="00E272A8" w:rsidP="00E272A8">
      <w:pPr>
        <w:jc w:val="both"/>
        <w:rPr>
          <w:b/>
          <w:bCs/>
        </w:rPr>
      </w:pPr>
      <w:r w:rsidRPr="64A3EB5D">
        <w:rPr>
          <w:b/>
          <w:bCs/>
        </w:rPr>
        <w:t xml:space="preserve">Trend 3: handel </w:t>
      </w:r>
      <w:proofErr w:type="spellStart"/>
      <w:r w:rsidRPr="64A3EB5D">
        <w:rPr>
          <w:b/>
          <w:bCs/>
        </w:rPr>
        <w:t>inkluzy</w:t>
      </w:r>
      <w:r w:rsidR="00931AFA">
        <w:rPr>
          <w:b/>
          <w:bCs/>
        </w:rPr>
        <w:t>w</w:t>
      </w:r>
      <w:r w:rsidRPr="64A3EB5D">
        <w:rPr>
          <w:b/>
          <w:bCs/>
        </w:rPr>
        <w:t>ny</w:t>
      </w:r>
      <w:proofErr w:type="spellEnd"/>
    </w:p>
    <w:p w14:paraId="158D6AF1" w14:textId="4F3F1E34" w:rsidR="00E272A8" w:rsidRDefault="00E272A8" w:rsidP="00E272A8">
      <w:pPr>
        <w:jc w:val="both"/>
      </w:pPr>
      <w:r>
        <w:t xml:space="preserve">Około 15 proc. światowej populacji cierpi na jakiś rodzaj niepełnosprawności. Umożliwienie osobom niepełnosprawnym robienia zakupów online jest nie tylko </w:t>
      </w:r>
      <w:r w:rsidR="00547094">
        <w:t>zgodne z duchem włączania</w:t>
      </w:r>
      <w:r>
        <w:t>, ale również wymagane przez prawo. Europejscy sprzedawcy e-commerce będą musieli udostępnić swoje produkty i usługi osobom niepełnosprawnym do 28 czerwca 2025 roku na mocy Europejskiego Aktu o Dostępności.</w:t>
      </w:r>
    </w:p>
    <w:p w14:paraId="26C9064F" w14:textId="5A7DA000" w:rsidR="00E272A8" w:rsidRDefault="00E272A8" w:rsidP="00E272A8">
      <w:pPr>
        <w:jc w:val="both"/>
      </w:pPr>
      <w:r>
        <w:t xml:space="preserve">Rok 2024 to ostatni moment dla sprzedawców z UE na zrobienie przeglądu doświadczeń użytkowników ich stron internetowych i wprowadzenie niezbędnych ulepszeń, aby uniknąć ewentualnych </w:t>
      </w:r>
      <w:r w:rsidR="0009704E">
        <w:t xml:space="preserve">roszczeń </w:t>
      </w:r>
      <w:r>
        <w:t xml:space="preserve">w przyszłości. </w:t>
      </w:r>
      <w:r w:rsidR="008C1C50">
        <w:t xml:space="preserve">Większa </w:t>
      </w:r>
      <w:r>
        <w:t xml:space="preserve">dostępność nie tylko zapobiega problemom prawnym, ale również generuje wzrost sprzedaży i ROI. Włączenie wszystkich klientów, niezależnie od ich sprawności, jest korzystne </w:t>
      </w:r>
      <w:r w:rsidR="008C1C50">
        <w:t xml:space="preserve">i </w:t>
      </w:r>
      <w:r>
        <w:t>dla biznesu</w:t>
      </w:r>
      <w:r w:rsidR="008C1C50">
        <w:t xml:space="preserve">, </w:t>
      </w:r>
      <w:r>
        <w:t xml:space="preserve">i </w:t>
      </w:r>
      <w:r w:rsidR="008C1C50">
        <w:t xml:space="preserve">dla </w:t>
      </w:r>
      <w:r>
        <w:t>społeczeństwa.</w:t>
      </w:r>
    </w:p>
    <w:p w14:paraId="0903C451" w14:textId="77777777" w:rsidR="00E272A8" w:rsidRPr="001D23B1" w:rsidRDefault="00E272A8" w:rsidP="00E272A8">
      <w:pPr>
        <w:jc w:val="both"/>
        <w:rPr>
          <w:b/>
          <w:bCs/>
        </w:rPr>
      </w:pPr>
      <w:r>
        <w:rPr>
          <w:b/>
          <w:bCs/>
        </w:rPr>
        <w:t>Trend 4</w:t>
      </w:r>
      <w:r>
        <w:rPr>
          <w:b/>
          <w:bCs/>
          <w:lang w:val="uk-UA"/>
        </w:rPr>
        <w:t xml:space="preserve">: </w:t>
      </w:r>
      <w:r>
        <w:rPr>
          <w:b/>
          <w:bCs/>
        </w:rPr>
        <w:t>z</w:t>
      </w:r>
      <w:r w:rsidRPr="002A51D6">
        <w:rPr>
          <w:b/>
          <w:bCs/>
        </w:rPr>
        <w:t xml:space="preserve">równoważony </w:t>
      </w:r>
      <w:r>
        <w:rPr>
          <w:b/>
          <w:bCs/>
        </w:rPr>
        <w:t>e</w:t>
      </w:r>
      <w:r w:rsidRPr="002A51D6">
        <w:rPr>
          <w:b/>
          <w:bCs/>
        </w:rPr>
        <w:t>-commerce</w:t>
      </w:r>
    </w:p>
    <w:p w14:paraId="708F1311" w14:textId="767D2DB0" w:rsidR="00E272A8" w:rsidRDefault="00E272A8" w:rsidP="00E272A8">
      <w:pPr>
        <w:jc w:val="both"/>
      </w:pPr>
      <w:r>
        <w:t xml:space="preserve">Dla wielu konsumentów zrównoważony rozwój jest kluczowym czynnikiem przy podejmowaniu decyzji zakupowych. Jak podaje </w:t>
      </w:r>
      <w:proofErr w:type="spellStart"/>
      <w:r w:rsidR="004F38A1">
        <w:t>P</w:t>
      </w:r>
      <w:r>
        <w:t>w</w:t>
      </w:r>
      <w:r w:rsidR="004F38A1">
        <w:t>C</w:t>
      </w:r>
      <w:proofErr w:type="spellEnd"/>
      <w:r>
        <w:t>, ponad 70 proc. kupujących jest gotowych zapłacić więcej za produkty wyprodukowane w sposób zrównoważony. Marki, które priorytetowo traktują etyczne i przyjazne dla środowiska praktyki, zyskują lojalność młodszych pokoleń. To nie tylko obowiązek, ale również szansa na zwiększenie sprzedaży i poprawę wizerunku firmy.</w:t>
      </w:r>
    </w:p>
    <w:p w14:paraId="3BDB637E" w14:textId="7A282E35" w:rsidR="00E272A8" w:rsidRDefault="00E272A8" w:rsidP="00E272A8">
      <w:pPr>
        <w:jc w:val="both"/>
      </w:pPr>
      <w:r>
        <w:t xml:space="preserve">Zwłaszcza w branży modowej i odzieżowej młodsi kupujący </w:t>
      </w:r>
      <w:r w:rsidR="006940E5">
        <w:t>prefer</w:t>
      </w:r>
      <w:r w:rsidR="00174228">
        <w:t>ują</w:t>
      </w:r>
      <w:r w:rsidR="006940E5">
        <w:t xml:space="preserve"> </w:t>
      </w:r>
      <w:r>
        <w:t xml:space="preserve">marki, które priorytetowo traktują etyczne i przyjazne dla środowiska praktyki. Według badania przeprowadzonego przez </w:t>
      </w:r>
      <w:proofErr w:type="spellStart"/>
      <w:r>
        <w:t>Drapers</w:t>
      </w:r>
      <w:proofErr w:type="spellEnd"/>
      <w:r>
        <w:t xml:space="preserve"> i </w:t>
      </w:r>
      <w:proofErr w:type="spellStart"/>
      <w:r>
        <w:t>BigCommerce</w:t>
      </w:r>
      <w:proofErr w:type="spellEnd"/>
      <w:r>
        <w:t xml:space="preserve">, 57 proc. pokolenia Z i </w:t>
      </w:r>
      <w:proofErr w:type="spellStart"/>
      <w:r>
        <w:t>mil</w:t>
      </w:r>
      <w:r w:rsidR="158CDF66">
        <w:t>l</w:t>
      </w:r>
      <w:r>
        <w:t>enialsów</w:t>
      </w:r>
      <w:proofErr w:type="spellEnd"/>
      <w:r>
        <w:t xml:space="preserve"> twierdzi, że zrównoważony rozwój jest ważny, jeśli chodzi o zakupy odzieży, akcesoriów lub obuwia </w:t>
      </w:r>
      <w:r w:rsidR="00DF43B7">
        <w:t>–</w:t>
      </w:r>
      <w:r>
        <w:t xml:space="preserve"> wzrost </w:t>
      </w:r>
      <w:r w:rsidR="7174064E">
        <w:t xml:space="preserve">o 10 pp. </w:t>
      </w:r>
      <w:r w:rsidR="00DF43B7">
        <w:t>w</w:t>
      </w:r>
      <w:r w:rsidR="7174064E">
        <w:t>zględem badania</w:t>
      </w:r>
      <w:r>
        <w:t xml:space="preserve"> z 2022 roku. Ta zmiana w decyzjach zakupowych odzwierciedla rosnący trend, w którym konsumenci coraz częściej biorą pod uwagę wpływ swoich zakupów na środowisko, wpływając na ich lojalność i ogólne postrzeganie marki.</w:t>
      </w:r>
    </w:p>
    <w:p w14:paraId="4A0057F0" w14:textId="23A4644C" w:rsidR="00A440FA" w:rsidRPr="00A87A22" w:rsidRDefault="00A440FA" w:rsidP="00A440FA">
      <w:pPr>
        <w:jc w:val="both"/>
        <w:rPr>
          <w:b/>
          <w:bCs/>
        </w:rPr>
      </w:pPr>
      <w:r w:rsidRPr="00A87A22">
        <w:rPr>
          <w:b/>
          <w:bCs/>
        </w:rPr>
        <w:t>Trend 5: AR, VR i samoobsługow</w:t>
      </w:r>
      <w:r w:rsidR="00F71A76">
        <w:rPr>
          <w:b/>
          <w:bCs/>
        </w:rPr>
        <w:t>e urządzenia</w:t>
      </w:r>
    </w:p>
    <w:p w14:paraId="7EDBF3E0" w14:textId="77777777" w:rsidR="00A440FA" w:rsidRDefault="00A440FA" w:rsidP="00A440FA">
      <w:pPr>
        <w:jc w:val="both"/>
      </w:pPr>
      <w:r>
        <w:t>Wyróżniającą cechą było udane przyjęcie rzeczywistości rozszerzonej (AR) i wirtualnej (VR) w branży e-commerce przez duże, znane marki, m.in. z sektora modowego i wyposażenia wnętrz. Technologie te zdobyły popularność dzięki możliwości tworzenia bardziej angażujących i interaktywnych doświadczeń zakupowych.</w:t>
      </w:r>
    </w:p>
    <w:p w14:paraId="2D1729D3" w14:textId="74A86F48" w:rsidR="00A440FA" w:rsidRDefault="00A440FA" w:rsidP="00A440FA">
      <w:pPr>
        <w:jc w:val="both"/>
      </w:pPr>
      <w:r>
        <w:lastRenderedPageBreak/>
        <w:t>Jednak AR i VR to nie jedyne innowacje zmieniające handel detaliczny. Dynamiczny rozwój automatów paczkowych i aplikacje mobilne również odgrywa kluczową rolę w optymalizacji procesów logistycznych. Na koniec I kwartału 2024 roku liczba automatów paczkowych w Polsce wzrosła o 3,3 tys., dając klientom większą elastyczność w nadawaniu i odbieraniu paczek</w:t>
      </w:r>
      <w:r w:rsidR="007627A8">
        <w:t xml:space="preserve"> -</w:t>
      </w:r>
      <w:r>
        <w:t xml:space="preserve"> wynika z danych serwisu cashless.pl.</w:t>
      </w:r>
    </w:p>
    <w:p w14:paraId="45E07939" w14:textId="39223CE8" w:rsidR="00A440FA" w:rsidRDefault="00EC1DD6" w:rsidP="00A440FA">
      <w:pPr>
        <w:jc w:val="both"/>
      </w:pPr>
      <w:r>
        <w:t xml:space="preserve">- </w:t>
      </w:r>
      <w:r w:rsidR="00A440FA" w:rsidRPr="00E218F9">
        <w:rPr>
          <w:i/>
          <w:iCs/>
        </w:rPr>
        <w:t xml:space="preserve">Firmy </w:t>
      </w:r>
      <w:r w:rsidR="006D75B6">
        <w:rPr>
          <w:i/>
          <w:iCs/>
        </w:rPr>
        <w:t xml:space="preserve">powinny </w:t>
      </w:r>
      <w:r w:rsidR="00A440FA" w:rsidRPr="00E218F9">
        <w:rPr>
          <w:i/>
          <w:iCs/>
        </w:rPr>
        <w:t xml:space="preserve">inwestować w nowoczesne technologie, aby sprostać rosnącym oczekiwaniom klientów i zachować konkurencyjność na dynamicznie rozwijającym się rynku e-commerce. Integracja AR, VR </w:t>
      </w:r>
      <w:r w:rsidR="00493C07">
        <w:rPr>
          <w:i/>
          <w:iCs/>
        </w:rPr>
        <w:br/>
      </w:r>
      <w:r w:rsidR="00A440FA" w:rsidRPr="00E218F9">
        <w:rPr>
          <w:i/>
          <w:iCs/>
        </w:rPr>
        <w:t>i samoobsługowych narzędzi nie tylko poprawia efektywność operacyjną, ale także znacząco wpływa na satysfakcję klientów i ich lojalność wobec marki</w:t>
      </w:r>
      <w:r>
        <w:t xml:space="preserve"> – dodaje</w:t>
      </w:r>
      <w:r w:rsidR="006221C0">
        <w:t xml:space="preserve"> Krzysztof </w:t>
      </w:r>
      <w:proofErr w:type="spellStart"/>
      <w:r w:rsidR="006221C0">
        <w:t>Polończyk</w:t>
      </w:r>
      <w:proofErr w:type="spellEnd"/>
      <w:r w:rsidR="006221C0">
        <w:t>, prezes zarządu</w:t>
      </w:r>
      <w:r w:rsidR="006221C0" w:rsidRPr="006D4190">
        <w:t xml:space="preserve"> </w:t>
      </w:r>
      <w:proofErr w:type="spellStart"/>
      <w:r w:rsidR="006221C0" w:rsidRPr="006D4190">
        <w:t>Fiserv</w:t>
      </w:r>
      <w:proofErr w:type="spellEnd"/>
      <w:r w:rsidR="006221C0" w:rsidRPr="006D4190">
        <w:t xml:space="preserve"> Polska S.A.,</w:t>
      </w:r>
      <w:r w:rsidR="006221C0" w:rsidRPr="00555221">
        <w:t xml:space="preserve"> właściciela marki </w:t>
      </w:r>
      <w:proofErr w:type="spellStart"/>
      <w:r w:rsidR="006221C0" w:rsidRPr="00555221">
        <w:t>PolCard</w:t>
      </w:r>
      <w:proofErr w:type="spellEnd"/>
      <w:r w:rsidR="006221C0" w:rsidRPr="00555221">
        <w:t xml:space="preserve"> from </w:t>
      </w:r>
      <w:proofErr w:type="spellStart"/>
      <w:r w:rsidR="006221C0" w:rsidRPr="00555221">
        <w:t>Fiserv</w:t>
      </w:r>
      <w:proofErr w:type="spellEnd"/>
      <w:r w:rsidR="006221C0" w:rsidRPr="00555221">
        <w:t>.</w:t>
      </w:r>
    </w:p>
    <w:p w14:paraId="4F97647C" w14:textId="268C297F" w:rsidR="00A440FA" w:rsidRDefault="00A440FA" w:rsidP="00A440FA">
      <w:pPr>
        <w:jc w:val="both"/>
      </w:pPr>
      <w:r>
        <w:t>W przyszłości można spodziewać się jeszcze większego zastosowania tych technologii w personalizacji zakupów i poprawie doświadczeń użytkowników. Interaktywne podróże zakupowe oparte na AR/VR</w:t>
      </w:r>
      <w:r w:rsidR="00910404">
        <w:t xml:space="preserve"> </w:t>
      </w:r>
      <w:r>
        <w:t xml:space="preserve">oraz samoobsługowe narzędzia </w:t>
      </w:r>
      <w:r w:rsidR="00910404">
        <w:t>płatnicze</w:t>
      </w:r>
      <w:r>
        <w:t xml:space="preserve"> mogą stać się standardem w branży e-commerce.</w:t>
      </w:r>
    </w:p>
    <w:p w14:paraId="7E33EB64" w14:textId="77777777" w:rsidR="00A440FA" w:rsidRDefault="00A440FA" w:rsidP="00E272A8">
      <w:pPr>
        <w:jc w:val="both"/>
      </w:pPr>
    </w:p>
    <w:p w14:paraId="1EABE436" w14:textId="77777777" w:rsidR="008D46E3" w:rsidRDefault="008D46E3" w:rsidP="00E272A8">
      <w:pPr>
        <w:jc w:val="both"/>
      </w:pPr>
    </w:p>
    <w:p w14:paraId="5476E53E" w14:textId="77777777" w:rsidR="00910404" w:rsidRPr="00B313B6" w:rsidRDefault="00910404" w:rsidP="0091040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21EAE752">
        <w:rPr>
          <w:rFonts w:ascii="Calibri" w:hAnsi="Calibri" w:cs="Calibri"/>
          <w:b/>
          <w:bCs/>
          <w:sz w:val="18"/>
          <w:szCs w:val="18"/>
        </w:rPr>
        <w:t>Więcej informacji:</w:t>
      </w:r>
    </w:p>
    <w:p w14:paraId="70455FA0" w14:textId="77777777" w:rsidR="00910404" w:rsidRPr="00B313B6" w:rsidRDefault="00910404" w:rsidP="00910404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21EAE752">
        <w:rPr>
          <w:rFonts w:ascii="Calibri" w:hAnsi="Calibri" w:cs="Calibri"/>
          <w:sz w:val="18"/>
          <w:szCs w:val="18"/>
        </w:rPr>
        <w:t>Radosław Pupiec</w:t>
      </w:r>
    </w:p>
    <w:p w14:paraId="307270BE" w14:textId="77777777" w:rsidR="00910404" w:rsidRPr="00B313B6" w:rsidRDefault="00910404" w:rsidP="00910404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21EAE752">
        <w:rPr>
          <w:rFonts w:ascii="Calibri" w:hAnsi="Calibri" w:cs="Calibri"/>
          <w:sz w:val="18"/>
          <w:szCs w:val="18"/>
        </w:rPr>
        <w:t xml:space="preserve">Menedżer Projektów, </w:t>
      </w:r>
      <w:proofErr w:type="spellStart"/>
      <w:r w:rsidRPr="21EAE752">
        <w:rPr>
          <w:rFonts w:ascii="Calibri" w:hAnsi="Calibri" w:cs="Calibri"/>
          <w:sz w:val="18"/>
          <w:szCs w:val="18"/>
        </w:rPr>
        <w:t>Clear</w:t>
      </w:r>
      <w:proofErr w:type="spellEnd"/>
      <w:r w:rsidRPr="21EAE75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21EAE752">
        <w:rPr>
          <w:rFonts w:ascii="Calibri" w:hAnsi="Calibri" w:cs="Calibri"/>
          <w:sz w:val="18"/>
          <w:szCs w:val="18"/>
        </w:rPr>
        <w:t>Communication</w:t>
      </w:r>
      <w:proofErr w:type="spellEnd"/>
      <w:r w:rsidRPr="21EAE75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21EAE752">
        <w:rPr>
          <w:rFonts w:ascii="Calibri" w:hAnsi="Calibri" w:cs="Calibri"/>
          <w:sz w:val="18"/>
          <w:szCs w:val="18"/>
        </w:rPr>
        <w:t>Group</w:t>
      </w:r>
      <w:proofErr w:type="spellEnd"/>
    </w:p>
    <w:p w14:paraId="315BE6FE" w14:textId="77777777" w:rsidR="00910404" w:rsidRPr="00B313B6" w:rsidRDefault="00910404" w:rsidP="00910404">
      <w:pPr>
        <w:spacing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  <w:r w:rsidRPr="21EAE752">
        <w:rPr>
          <w:rFonts w:ascii="Calibri" w:hAnsi="Calibri" w:cs="Calibri"/>
          <w:sz w:val="18"/>
          <w:szCs w:val="18"/>
          <w:lang w:val="en-US"/>
        </w:rPr>
        <w:t>radoslaw.pupiec@clearcom.pl</w:t>
      </w:r>
    </w:p>
    <w:p w14:paraId="2DB95A11" w14:textId="77777777" w:rsidR="00910404" w:rsidRPr="00B313B6" w:rsidRDefault="00910404" w:rsidP="00910404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21EAE752">
        <w:rPr>
          <w:rFonts w:ascii="Calibri" w:hAnsi="Calibri" w:cs="Calibri"/>
          <w:sz w:val="18"/>
          <w:szCs w:val="18"/>
        </w:rPr>
        <w:t>517 595 218</w:t>
      </w:r>
    </w:p>
    <w:p w14:paraId="5FB67DDE" w14:textId="48A7545F" w:rsidR="00081277" w:rsidRPr="00704C29" w:rsidRDefault="00081277" w:rsidP="00910404">
      <w:pPr>
        <w:jc w:val="both"/>
        <w:rPr>
          <w:lang w:val="en-US"/>
        </w:rPr>
      </w:pPr>
    </w:p>
    <w:sectPr w:rsidR="00081277" w:rsidRPr="00704C29" w:rsidSect="00E2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06"/>
    <w:rsid w:val="00012359"/>
    <w:rsid w:val="0006470E"/>
    <w:rsid w:val="00067B06"/>
    <w:rsid w:val="000800D4"/>
    <w:rsid w:val="00081277"/>
    <w:rsid w:val="00082CEF"/>
    <w:rsid w:val="0009704E"/>
    <w:rsid w:val="000C695D"/>
    <w:rsid w:val="00146555"/>
    <w:rsid w:val="00147ECF"/>
    <w:rsid w:val="00174228"/>
    <w:rsid w:val="001A0731"/>
    <w:rsid w:val="00282F6B"/>
    <w:rsid w:val="002A080B"/>
    <w:rsid w:val="002E53BC"/>
    <w:rsid w:val="0030249D"/>
    <w:rsid w:val="003112E6"/>
    <w:rsid w:val="003658CA"/>
    <w:rsid w:val="00376A0B"/>
    <w:rsid w:val="003A030D"/>
    <w:rsid w:val="003A775C"/>
    <w:rsid w:val="003C1EDA"/>
    <w:rsid w:val="00451A80"/>
    <w:rsid w:val="00480D77"/>
    <w:rsid w:val="00483371"/>
    <w:rsid w:val="00493C07"/>
    <w:rsid w:val="004F38A1"/>
    <w:rsid w:val="00547094"/>
    <w:rsid w:val="00555221"/>
    <w:rsid w:val="00561A88"/>
    <w:rsid w:val="00582095"/>
    <w:rsid w:val="0059668C"/>
    <w:rsid w:val="00596867"/>
    <w:rsid w:val="005970F2"/>
    <w:rsid w:val="005A4BA6"/>
    <w:rsid w:val="006221C0"/>
    <w:rsid w:val="006354A8"/>
    <w:rsid w:val="00660A1E"/>
    <w:rsid w:val="0066442A"/>
    <w:rsid w:val="006940E5"/>
    <w:rsid w:val="006B6E33"/>
    <w:rsid w:val="006D4190"/>
    <w:rsid w:val="006D5187"/>
    <w:rsid w:val="006D75B6"/>
    <w:rsid w:val="00704C29"/>
    <w:rsid w:val="0071152A"/>
    <w:rsid w:val="007160B6"/>
    <w:rsid w:val="00724E45"/>
    <w:rsid w:val="00727158"/>
    <w:rsid w:val="007503F4"/>
    <w:rsid w:val="007627A8"/>
    <w:rsid w:val="007A3172"/>
    <w:rsid w:val="007F3661"/>
    <w:rsid w:val="008A25D7"/>
    <w:rsid w:val="008B3D03"/>
    <w:rsid w:val="008C1C50"/>
    <w:rsid w:val="008D169D"/>
    <w:rsid w:val="008D46E3"/>
    <w:rsid w:val="008F6BE8"/>
    <w:rsid w:val="00910404"/>
    <w:rsid w:val="00931AFA"/>
    <w:rsid w:val="00A440FA"/>
    <w:rsid w:val="00A44298"/>
    <w:rsid w:val="00A62E37"/>
    <w:rsid w:val="00A66718"/>
    <w:rsid w:val="00A82240"/>
    <w:rsid w:val="00A87A22"/>
    <w:rsid w:val="00AB2236"/>
    <w:rsid w:val="00AC152D"/>
    <w:rsid w:val="00B0326C"/>
    <w:rsid w:val="00B71885"/>
    <w:rsid w:val="00C11328"/>
    <w:rsid w:val="00C20E4A"/>
    <w:rsid w:val="00C745A3"/>
    <w:rsid w:val="00C85480"/>
    <w:rsid w:val="00C900A6"/>
    <w:rsid w:val="00C979CA"/>
    <w:rsid w:val="00CB7BFB"/>
    <w:rsid w:val="00CF3A70"/>
    <w:rsid w:val="00D25F68"/>
    <w:rsid w:val="00D6133A"/>
    <w:rsid w:val="00D8071A"/>
    <w:rsid w:val="00D807A2"/>
    <w:rsid w:val="00DA3924"/>
    <w:rsid w:val="00DF43B7"/>
    <w:rsid w:val="00E16332"/>
    <w:rsid w:val="00E218F9"/>
    <w:rsid w:val="00E26784"/>
    <w:rsid w:val="00E272A8"/>
    <w:rsid w:val="00E84606"/>
    <w:rsid w:val="00EC1DD6"/>
    <w:rsid w:val="00EE69E4"/>
    <w:rsid w:val="00F260AB"/>
    <w:rsid w:val="00F32BC1"/>
    <w:rsid w:val="00F37077"/>
    <w:rsid w:val="00F3728F"/>
    <w:rsid w:val="00F513EF"/>
    <w:rsid w:val="00F71A76"/>
    <w:rsid w:val="00FA1389"/>
    <w:rsid w:val="00FD18BD"/>
    <w:rsid w:val="00FF0051"/>
    <w:rsid w:val="0109D94A"/>
    <w:rsid w:val="158CDF66"/>
    <w:rsid w:val="27091294"/>
    <w:rsid w:val="297BEAE9"/>
    <w:rsid w:val="3A6C1DEB"/>
    <w:rsid w:val="4ADA5551"/>
    <w:rsid w:val="4EB03D4F"/>
    <w:rsid w:val="4EFB3D38"/>
    <w:rsid w:val="4F1AAA09"/>
    <w:rsid w:val="529AA6A9"/>
    <w:rsid w:val="57C56E79"/>
    <w:rsid w:val="64A3EB5D"/>
    <w:rsid w:val="6F4D85DF"/>
    <w:rsid w:val="7174064E"/>
    <w:rsid w:val="7938BCA6"/>
    <w:rsid w:val="7977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0B3B"/>
  <w15:chartTrackingRefBased/>
  <w15:docId w15:val="{FE24A681-E0CA-46DD-B200-01DB830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7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2A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72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72A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A8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61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C96725C30E48AA3F8EBBD054ADDB" ma:contentTypeVersion="16" ma:contentTypeDescription="Create a new document." ma:contentTypeScope="" ma:versionID="492e855a418dec967ac367965b7610cf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a1a099d1c6aef578245bd7eab4a14e30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9B818-6A54-47FB-864C-C66F522864EB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customXml/itemProps2.xml><?xml version="1.0" encoding="utf-8"?>
<ds:datastoreItem xmlns:ds="http://schemas.openxmlformats.org/officeDocument/2006/customXml" ds:itemID="{096B50F6-2273-403A-B914-BE28F8A4E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64369-CB50-4206-8112-70E634455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Shnurko CCG</dc:creator>
  <cp:keywords/>
  <dc:description/>
  <cp:lastModifiedBy>Iza Hoppe CCG</cp:lastModifiedBy>
  <cp:revision>9</cp:revision>
  <dcterms:created xsi:type="dcterms:W3CDTF">2024-09-12T14:04:00Z</dcterms:created>
  <dcterms:modified xsi:type="dcterms:W3CDTF">2024-09-18T15:42:00Z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0x01010016FFC96725C30E48AA3F8EBBD054ADDB</vt:lpwstr>
  </property>
</Properties>
</file>